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A6A5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</w:t>
      </w:r>
      <w:r w:rsidR="000B6CA5" w:rsidRPr="000B6CA5">
        <w:rPr>
          <w:b/>
        </w:rPr>
        <w:t>4</w:t>
      </w:r>
      <w:r w:rsidR="00DF12F9" w:rsidRPr="006D7458">
        <w:rPr>
          <w:b/>
        </w:rPr>
        <w:t xml:space="preserve"> </w:t>
      </w:r>
      <w:r w:rsidR="000B6CA5">
        <w:rPr>
          <w:b/>
        </w:rPr>
        <w:t>февраля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0B6CA5" w:rsidRDefault="000B6CA5" w:rsidP="00A6607C">
      <w:pPr>
        <w:spacing w:after="120"/>
        <w:jc w:val="center"/>
        <w:rPr>
          <w:b/>
          <w:lang w:val="en-US"/>
        </w:rPr>
      </w:pPr>
      <w:r>
        <w:rPr>
          <w:b/>
        </w:rPr>
        <w:t xml:space="preserve">Планшет </w:t>
      </w:r>
      <w:r>
        <w:rPr>
          <w:b/>
          <w:lang w:val="en-US"/>
        </w:rPr>
        <w:t>teXet</w:t>
      </w:r>
      <w:r w:rsidRPr="000B6CA5">
        <w:rPr>
          <w:b/>
        </w:rPr>
        <w:t xml:space="preserve"> TM-9767 3G – мир возможностей под рукой</w:t>
      </w:r>
    </w:p>
    <w:p w:rsidR="000B6CA5" w:rsidRDefault="000B6CA5" w:rsidP="000B6CA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83467D" wp14:editId="4F33F17E">
            <wp:simplePos x="0" y="0"/>
            <wp:positionH relativeFrom="column">
              <wp:posOffset>-33655</wp:posOffset>
            </wp:positionH>
            <wp:positionV relativeFrom="paragraph">
              <wp:posOffset>1307465</wp:posOffset>
            </wp:positionV>
            <wp:extent cx="6238875" cy="2798445"/>
            <wp:effectExtent l="0" t="0" r="9525" b="0"/>
            <wp:wrapTopAndBottom/>
            <wp:docPr id="1" name="Рисунок 1" descr="http://www.texet.ru/files/images/9767_back_saphire_news_st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9767_back_saphire_news_sty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/>
                    <a:stretch/>
                  </pic:blipFill>
                  <pic:spPr bwMode="auto">
                    <a:xfrm>
                      <a:off x="0" y="0"/>
                      <a:ext cx="623887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Компания «Электронные системы «Алкотел» выводит на рынок новый планшет премиальной серии </w:t>
      </w:r>
      <w:r w:rsidRPr="000B6CA5">
        <w:rPr>
          <w:lang w:val="en-US"/>
        </w:rPr>
        <w:t>X</w:t>
      </w:r>
      <w:r w:rsidRPr="000B6CA5">
        <w:t>-</w:t>
      </w:r>
      <w:r w:rsidRPr="000B6CA5">
        <w:rPr>
          <w:lang w:val="en-US"/>
        </w:rPr>
        <w:t>pad</w:t>
      </w:r>
      <w:r w:rsidRPr="000B6CA5">
        <w:t xml:space="preserve"> </w:t>
      </w:r>
      <w:r w:rsidRPr="000B6CA5">
        <w:rPr>
          <w:lang w:val="en-US"/>
        </w:rPr>
        <w:t>STYLE</w:t>
      </w:r>
      <w:r w:rsidRPr="000B6CA5">
        <w:t xml:space="preserve"> – 9,7-дюймовый </w:t>
      </w:r>
      <w:r w:rsidRPr="000B6CA5">
        <w:rPr>
          <w:lang w:val="en-US"/>
        </w:rPr>
        <w:t>TM</w:t>
      </w:r>
      <w:r w:rsidRPr="000B6CA5">
        <w:t>-9767 3</w:t>
      </w:r>
      <w:r w:rsidRPr="000B6CA5">
        <w:rPr>
          <w:lang w:val="en-US"/>
        </w:rPr>
        <w:t>G</w:t>
      </w:r>
      <w:r w:rsidRPr="000B6CA5">
        <w:t>.</w:t>
      </w:r>
      <w:r>
        <w:t xml:space="preserve"> </w:t>
      </w:r>
      <w:r w:rsidRPr="000B6CA5">
        <w:t xml:space="preserve">Элегантный металлический корпус, очерченный зеркальным блеском боковых граней, делает </w:t>
      </w:r>
      <w:r>
        <w:t>устройство</w:t>
      </w:r>
      <w:r w:rsidRPr="000B6CA5">
        <w:t xml:space="preserve"> презентабельным помощником на деловых встречах</w:t>
      </w:r>
      <w:r>
        <w:t xml:space="preserve">. Модель с мощным </w:t>
      </w:r>
      <w:proofErr w:type="spellStart"/>
      <w:r w:rsidRPr="00326BB7">
        <w:rPr>
          <w:sz w:val="21"/>
          <w:szCs w:val="21"/>
        </w:rPr>
        <w:t>четырехъядерн</w:t>
      </w:r>
      <w:r>
        <w:rPr>
          <w:sz w:val="21"/>
          <w:szCs w:val="21"/>
        </w:rPr>
        <w:t>ым</w:t>
      </w:r>
      <w:proofErr w:type="spellEnd"/>
      <w:r>
        <w:rPr>
          <w:sz w:val="21"/>
          <w:szCs w:val="21"/>
        </w:rPr>
        <w:t xml:space="preserve"> процессором на борту не подведет при решении сложных задач, </w:t>
      </w:r>
      <w:r w:rsidRPr="000B6CA5">
        <w:t xml:space="preserve">а яркий </w:t>
      </w:r>
      <w:r w:rsidRPr="000B6CA5">
        <w:rPr>
          <w:lang w:val="en-US"/>
        </w:rPr>
        <w:t>IPS</w:t>
      </w:r>
      <w:r w:rsidRPr="000B6CA5">
        <w:t xml:space="preserve"> экран и модуль 3</w:t>
      </w:r>
      <w:r w:rsidRPr="000B6CA5">
        <w:rPr>
          <w:lang w:val="en-US"/>
        </w:rPr>
        <w:t>G</w:t>
      </w:r>
      <w:r w:rsidRPr="000B6CA5">
        <w:t xml:space="preserve"> позволят не ограничивать себя в идеях для развлечений и общения.</w:t>
      </w:r>
    </w:p>
    <w:p w:rsidR="00D64B8D" w:rsidRDefault="000B6CA5" w:rsidP="000B6CA5">
      <w:pPr>
        <w:jc w:val="both"/>
      </w:pPr>
      <w:r w:rsidRPr="000B6CA5">
        <w:t xml:space="preserve">За стабильную работу в </w:t>
      </w:r>
      <w:proofErr w:type="spellStart"/>
      <w:r w:rsidRPr="000B6CA5">
        <w:t>мультизадачном</w:t>
      </w:r>
      <w:proofErr w:type="spellEnd"/>
      <w:r w:rsidRPr="000B6CA5">
        <w:t xml:space="preserve"> ритме отвечает производительный </w:t>
      </w:r>
      <w:proofErr w:type="spellStart"/>
      <w:r w:rsidRPr="000B6CA5">
        <w:t>четырехъядерный</w:t>
      </w:r>
      <w:proofErr w:type="spellEnd"/>
      <w:r w:rsidRPr="000B6CA5">
        <w:t xml:space="preserve"> процессор </w:t>
      </w:r>
      <w:proofErr w:type="spellStart"/>
      <w:r w:rsidRPr="000B6CA5">
        <w:t>Rockchip</w:t>
      </w:r>
      <w:proofErr w:type="spellEnd"/>
      <w:r w:rsidRPr="000B6CA5">
        <w:t xml:space="preserve"> RK3188 </w:t>
      </w:r>
      <w:proofErr w:type="spellStart"/>
      <w:r w:rsidRPr="000B6CA5">
        <w:t>Cortex</w:t>
      </w:r>
      <w:proofErr w:type="spellEnd"/>
      <w:r w:rsidRPr="000B6CA5">
        <w:t xml:space="preserve"> A9 на частоте 1.6 ГГц. Пользователь может переключаться между несколькими активными приложениями на одном экране, успевать больше, но при этом мгновенная отзывчивость и эффективное энергопотребление всегда будут неизменными качествами планшета.</w:t>
      </w:r>
      <w:r w:rsidR="00D64B8D">
        <w:t xml:space="preserve"> </w:t>
      </w:r>
    </w:p>
    <w:p w:rsidR="00D64B8D" w:rsidRDefault="00D64B8D" w:rsidP="000B6CA5">
      <w:pPr>
        <w:jc w:val="both"/>
      </w:pPr>
      <w:r w:rsidRPr="00D64B8D">
        <w:t xml:space="preserve">Большой экран teXet TM-9767 3G с диагональю 9,7 дюйма и разрешением 1024x768 пикселей – прекрасная площадка для просмотра мультимедийного контента, работы с документами или веб-серфинга. </w:t>
      </w:r>
      <w:r w:rsidRPr="00D64B8D">
        <w:t xml:space="preserve">Обработка графической информации возложена на </w:t>
      </w:r>
      <w:proofErr w:type="spellStart"/>
      <w:r w:rsidRPr="00D64B8D">
        <w:t>четырехъядерный</w:t>
      </w:r>
      <w:proofErr w:type="spellEnd"/>
      <w:r w:rsidRPr="00D64B8D">
        <w:t xml:space="preserve"> </w:t>
      </w:r>
      <w:proofErr w:type="gramStart"/>
      <w:r w:rsidRPr="00D64B8D">
        <w:t>г</w:t>
      </w:r>
      <w:r w:rsidR="00A6607C">
        <w:t>рафический</w:t>
      </w:r>
      <w:proofErr w:type="gramEnd"/>
      <w:r w:rsidR="00A6607C">
        <w:t xml:space="preserve"> чипсет Mali-400 MP4. </w:t>
      </w:r>
      <w:r w:rsidRPr="00D64B8D">
        <w:t xml:space="preserve">Устройство можно подключить к телевизору или проектору через </w:t>
      </w:r>
      <w:proofErr w:type="spellStart"/>
      <w:r w:rsidRPr="00D64B8D">
        <w:t>microHDMI</w:t>
      </w:r>
      <w:proofErr w:type="spellEnd"/>
      <w:r w:rsidRPr="00D64B8D">
        <w:t>-интерфейс.</w:t>
      </w:r>
    </w:p>
    <w:p w:rsidR="00D64B8D" w:rsidRDefault="00A6607C" w:rsidP="000B6CA5">
      <w:pPr>
        <w:jc w:val="both"/>
      </w:pPr>
      <w:r w:rsidRPr="00A6607C">
        <w:t xml:space="preserve">Комфортный и по-настоящему быстрый Интернет доступен за счет </w:t>
      </w:r>
      <w:r>
        <w:t xml:space="preserve">встроенного </w:t>
      </w:r>
      <w:r w:rsidRPr="00A6607C">
        <w:t>3G-модуля, скорость пр</w:t>
      </w:r>
      <w:r>
        <w:t xml:space="preserve">иема данных у новой модели достигает </w:t>
      </w:r>
      <w:r w:rsidRPr="00A6607C">
        <w:t>21 Мбит/с</w:t>
      </w:r>
      <w:r>
        <w:t xml:space="preserve">. </w:t>
      </w:r>
      <w:r w:rsidRPr="00D64B8D">
        <w:t>teXet TM-9767 3G</w:t>
      </w:r>
      <w:r>
        <w:t xml:space="preserve"> оборудован фронтальной камерой 0.3 </w:t>
      </w:r>
      <w:proofErr w:type="spellStart"/>
      <w:r>
        <w:t>Мп</w:t>
      </w:r>
      <w:proofErr w:type="spellEnd"/>
      <w:r>
        <w:t xml:space="preserve"> для </w:t>
      </w:r>
      <w:proofErr w:type="spellStart"/>
      <w:r>
        <w:t>видеозвонков</w:t>
      </w:r>
      <w:proofErr w:type="spellEnd"/>
      <w:r w:rsidR="00D64B8D" w:rsidRPr="00D64B8D">
        <w:t xml:space="preserve">, а основная с разрешением 2 </w:t>
      </w:r>
      <w:proofErr w:type="spellStart"/>
      <w:r w:rsidR="00D64B8D" w:rsidRPr="00D64B8D">
        <w:t>Мп</w:t>
      </w:r>
      <w:proofErr w:type="spellEnd"/>
      <w:r w:rsidR="00D64B8D" w:rsidRPr="00D64B8D">
        <w:t xml:space="preserve"> пригодится для съемки фото и видео.</w:t>
      </w:r>
    </w:p>
    <w:p w:rsidR="00A6607C" w:rsidRDefault="00A6607C" w:rsidP="000B6CA5">
      <w:pPr>
        <w:jc w:val="both"/>
      </w:pPr>
      <w:r w:rsidRPr="00A6607C">
        <w:t xml:space="preserve">Общение с планшетом не придется прерывать на частые подзарядки – емкий аккумулятор TM-9767 3G </w:t>
      </w:r>
      <w:r>
        <w:t>(</w:t>
      </w:r>
      <w:r w:rsidRPr="00A6607C">
        <w:t xml:space="preserve">7800 </w:t>
      </w:r>
      <w:proofErr w:type="spellStart"/>
      <w:r w:rsidRPr="00A6607C">
        <w:t>мАч</w:t>
      </w:r>
      <w:proofErr w:type="spellEnd"/>
      <w:r>
        <w:t xml:space="preserve">) </w:t>
      </w:r>
      <w:r w:rsidRPr="00A6607C">
        <w:t>обес</w:t>
      </w:r>
      <w:bookmarkStart w:id="0" w:name="_GoBack"/>
      <w:bookmarkEnd w:id="0"/>
      <w:r w:rsidRPr="00A6607C">
        <w:t xml:space="preserve">печит, например, до 7 часов </w:t>
      </w:r>
      <w:r>
        <w:t xml:space="preserve">непрерывного </w:t>
      </w:r>
      <w:r w:rsidRPr="00A6607C">
        <w:t>просмотра видео.</w:t>
      </w:r>
    </w:p>
    <w:p w:rsidR="00A6607C" w:rsidRDefault="00A6607C" w:rsidP="000B6CA5">
      <w:pPr>
        <w:jc w:val="both"/>
      </w:pPr>
      <w:r w:rsidRPr="00A6607C">
        <w:t>teXet TM-9767 3G идеально подходит для работы с мультимедийным контентом, современными играми и для серфинга в Интернете. Планшет сочетает в себе все достоинства премиального уровня, включая благородный дизайн и большой технический потенциал.</w:t>
      </w:r>
    </w:p>
    <w:p w:rsidR="00A6607C" w:rsidRDefault="00A6607C" w:rsidP="000B6CA5">
      <w:pPr>
        <w:jc w:val="both"/>
        <w:rPr>
          <w:b/>
        </w:rPr>
      </w:pPr>
      <w:r w:rsidRPr="00A6607C">
        <w:rPr>
          <w:b/>
        </w:rPr>
        <w:t>Рекомендованная розничная цена teXet TM-</w:t>
      </w:r>
      <w:r>
        <w:rPr>
          <w:b/>
        </w:rPr>
        <w:t>9767 3G составляет 9490 рублей</w:t>
      </w:r>
      <w:r w:rsidRPr="00A6607C">
        <w:rPr>
          <w:b/>
        </w:rPr>
        <w:t>.</w:t>
      </w:r>
    </w:p>
    <w:p w:rsidR="000B1ECE" w:rsidRPr="00326BB7" w:rsidRDefault="000E2851" w:rsidP="000E2851">
      <w:pPr>
        <w:spacing w:after="100" w:afterAutospacing="1"/>
        <w:jc w:val="center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-84455</wp:posOffset>
            </wp:positionV>
            <wp:extent cx="6121400" cy="1476375"/>
            <wp:effectExtent l="0" t="0" r="0" b="0"/>
            <wp:wrapTopAndBottom/>
            <wp:docPr id="2" name="Рисунок 2" descr="http://www.texet.ru/files/images/TM-9767_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TM-9767_lin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F9">
        <w:rPr>
          <w:b/>
        </w:rPr>
        <w:t>Технические характеристики планшет</w:t>
      </w:r>
      <w:r w:rsidR="00C703AB">
        <w:rPr>
          <w:b/>
        </w:rPr>
        <w:t xml:space="preserve">а </w:t>
      </w:r>
      <w:r w:rsidR="00FE6056" w:rsidRPr="002C643C">
        <w:rPr>
          <w:b/>
        </w:rPr>
        <w:t>teXet TM-97</w:t>
      </w:r>
      <w:r>
        <w:rPr>
          <w:b/>
        </w:rPr>
        <w:t>6</w:t>
      </w:r>
      <w:r w:rsidR="00FE6056" w:rsidRPr="002C643C">
        <w:rPr>
          <w:b/>
        </w:rPr>
        <w:t>7 3G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9.7’’, IPS, 1024x768 пикселей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D43BE3" w:rsidP="00BC65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 4.2</w:t>
            </w:r>
          </w:p>
        </w:tc>
      </w:tr>
      <w:tr w:rsidR="00CE1B97" w:rsidRPr="00FE6056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четырехъядерный</w:t>
            </w:r>
            <w:proofErr w:type="spellEnd"/>
            <w:r w:rsidRPr="00272711">
              <w:rPr>
                <w:sz w:val="18"/>
                <w:szCs w:val="18"/>
              </w:rPr>
              <w:t xml:space="preserve">, </w:t>
            </w:r>
            <w:proofErr w:type="spellStart"/>
            <w:r w:rsidRPr="00272711">
              <w:rPr>
                <w:sz w:val="18"/>
                <w:szCs w:val="18"/>
                <w:lang w:val="en-US"/>
              </w:rPr>
              <w:t>Rockchip</w:t>
            </w:r>
            <w:proofErr w:type="spellEnd"/>
            <w:r w:rsidRPr="00272711">
              <w:rPr>
                <w:sz w:val="18"/>
                <w:szCs w:val="18"/>
              </w:rPr>
              <w:t xml:space="preserve"> </w:t>
            </w:r>
            <w:r w:rsidRPr="00272711">
              <w:rPr>
                <w:sz w:val="18"/>
                <w:szCs w:val="18"/>
                <w:lang w:val="en-US"/>
              </w:rPr>
              <w:t>RK</w:t>
            </w:r>
            <w:r w:rsidRPr="00272711">
              <w:rPr>
                <w:sz w:val="18"/>
                <w:szCs w:val="18"/>
              </w:rPr>
              <w:t xml:space="preserve">3188, </w:t>
            </w:r>
            <w:r w:rsidRPr="00272711">
              <w:rPr>
                <w:sz w:val="18"/>
                <w:szCs w:val="18"/>
                <w:lang w:val="en-US"/>
              </w:rPr>
              <w:t>Cortex</w:t>
            </w:r>
            <w:r w:rsidRPr="00272711">
              <w:rPr>
                <w:sz w:val="18"/>
                <w:szCs w:val="18"/>
              </w:rPr>
              <w:t xml:space="preserve"> </w:t>
            </w:r>
            <w:r w:rsidRPr="00272711">
              <w:rPr>
                <w:sz w:val="18"/>
                <w:szCs w:val="18"/>
                <w:lang w:val="en-US"/>
              </w:rPr>
              <w:t>A</w:t>
            </w:r>
            <w:r w:rsidRPr="00272711">
              <w:rPr>
                <w:sz w:val="18"/>
                <w:szCs w:val="18"/>
              </w:rPr>
              <w:t>9, 1.6 ГГц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четырехъядерный, Mali-400 MP4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3D4D9F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16 ГБ</w:t>
            </w:r>
          </w:p>
        </w:tc>
      </w:tr>
      <w:tr w:rsidR="00CE1B97" w:rsidRPr="000B6CA5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0B1ECE" w:rsidRDefault="000B1ECE" w:rsidP="000B1ECE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774E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272711" w:rsidRPr="00272711" w:rsidRDefault="00272711" w:rsidP="00272711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3</w:t>
            </w:r>
            <w:r w:rsidRPr="00272711">
              <w:rPr>
                <w:sz w:val="18"/>
                <w:szCs w:val="18"/>
                <w:lang w:val="en-US"/>
              </w:rPr>
              <w:t>G</w:t>
            </w:r>
            <w:r w:rsidR="00D43BE3">
              <w:rPr>
                <w:sz w:val="18"/>
                <w:szCs w:val="18"/>
              </w:rPr>
              <w:t xml:space="preserve"> (прием – </w:t>
            </w:r>
            <w:r w:rsidRPr="00272711">
              <w:rPr>
                <w:sz w:val="18"/>
                <w:szCs w:val="18"/>
              </w:rPr>
              <w:t>до 21 Мбит/с, передача</w:t>
            </w:r>
            <w:r w:rsidR="00D43BE3">
              <w:rPr>
                <w:sz w:val="18"/>
                <w:szCs w:val="18"/>
              </w:rPr>
              <w:t xml:space="preserve"> – </w:t>
            </w:r>
            <w:r w:rsidRPr="00272711">
              <w:rPr>
                <w:sz w:val="18"/>
                <w:szCs w:val="18"/>
              </w:rPr>
              <w:t xml:space="preserve">до 5,76 Мбит/с) </w:t>
            </w:r>
          </w:p>
          <w:p w:rsidR="00272711" w:rsidRPr="00272711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 xml:space="preserve">WiFi 802.11b/g/n </w:t>
            </w:r>
          </w:p>
          <w:p w:rsidR="00774E44" w:rsidRPr="00272711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>Bluetooth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gramStart"/>
            <w:r w:rsidRPr="00272711">
              <w:rPr>
                <w:sz w:val="18"/>
                <w:szCs w:val="18"/>
              </w:rPr>
              <w:t>основная</w:t>
            </w:r>
            <w:proofErr w:type="gramEnd"/>
            <w:r w:rsidRPr="00272711">
              <w:rPr>
                <w:sz w:val="18"/>
                <w:szCs w:val="18"/>
              </w:rPr>
              <w:t xml:space="preserve"> – 2.0 Мп, фронтальная – 0.3 Мп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microSD</w:t>
            </w:r>
            <w:proofErr w:type="spellEnd"/>
            <w:r w:rsidRPr="00272711">
              <w:rPr>
                <w:sz w:val="18"/>
                <w:szCs w:val="18"/>
              </w:rPr>
              <w:t>/</w:t>
            </w:r>
            <w:proofErr w:type="spellStart"/>
            <w:r w:rsidRPr="00272711">
              <w:rPr>
                <w:sz w:val="18"/>
                <w:szCs w:val="18"/>
              </w:rPr>
              <w:t>microSDHC</w:t>
            </w:r>
            <w:proofErr w:type="spellEnd"/>
            <w:r w:rsidRPr="00272711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0B6CA5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72711" w:rsidRDefault="00272711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 xml:space="preserve">текст: </w:t>
            </w:r>
            <w:r w:rsidR="00E5131F" w:rsidRPr="00E5131F">
              <w:rPr>
                <w:sz w:val="18"/>
                <w:szCs w:val="18"/>
              </w:rPr>
              <w:t xml:space="preserve">DOC, </w:t>
            </w:r>
            <w:proofErr w:type="spellStart"/>
            <w:r w:rsidR="00E5131F" w:rsidRPr="00E5131F">
              <w:rPr>
                <w:sz w:val="18"/>
                <w:szCs w:val="18"/>
              </w:rPr>
              <w:t>ePUB</w:t>
            </w:r>
            <w:proofErr w:type="spellEnd"/>
            <w:r w:rsidR="00E5131F" w:rsidRPr="00E5131F">
              <w:rPr>
                <w:sz w:val="18"/>
                <w:szCs w:val="18"/>
              </w:rPr>
              <w:t>, FB2, HTML/HTM, PDF, RTF, TXT(1251,UTF8)</w:t>
            </w:r>
          </w:p>
          <w:p w:rsidR="00FE6056" w:rsidRPr="00272711" w:rsidRDefault="00E5131F" w:rsidP="00774E4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видео</w:t>
            </w:r>
            <w:r w:rsidR="00FE6056" w:rsidRPr="00272711">
              <w:rPr>
                <w:b/>
                <w:sz w:val="18"/>
                <w:szCs w:val="18"/>
              </w:rPr>
              <w:t>:</w:t>
            </w:r>
            <w:r w:rsidR="00FE6056" w:rsidRPr="00272711">
              <w:rPr>
                <w:sz w:val="18"/>
                <w:szCs w:val="18"/>
              </w:rPr>
              <w:t xml:space="preserve"> </w:t>
            </w:r>
            <w:r w:rsidRPr="00E5131F">
              <w:rPr>
                <w:sz w:val="18"/>
                <w:szCs w:val="18"/>
              </w:rPr>
              <w:t>AVI, FLV, MKV, MOV, MP4, MPG, VOB</w:t>
            </w:r>
          </w:p>
          <w:p w:rsidR="00FE6056" w:rsidRPr="00E5131F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аудио</w:t>
            </w:r>
            <w:r w:rsidRPr="00272711">
              <w:rPr>
                <w:b/>
                <w:sz w:val="18"/>
                <w:szCs w:val="18"/>
                <w:lang w:val="en-US"/>
              </w:rPr>
              <w:t>:</w:t>
            </w:r>
            <w:r w:rsidRPr="00272711">
              <w:rPr>
                <w:sz w:val="18"/>
                <w:szCs w:val="18"/>
                <w:lang w:val="en-US"/>
              </w:rPr>
              <w:t xml:space="preserve"> </w:t>
            </w:r>
            <w:r w:rsidR="00E5131F" w:rsidRPr="00E5131F">
              <w:rPr>
                <w:sz w:val="18"/>
                <w:szCs w:val="18"/>
                <w:lang w:val="en-US"/>
              </w:rPr>
              <w:t>AAC, AMR, FLAC, M4A, M4R, MP2, MP3, OGG, WAV, WMA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изображения</w:t>
            </w:r>
            <w:r w:rsidRPr="00326BB7">
              <w:rPr>
                <w:b/>
                <w:sz w:val="18"/>
                <w:szCs w:val="18"/>
                <w:lang w:val="en-US"/>
              </w:rPr>
              <w:t>:</w:t>
            </w:r>
            <w:r w:rsidRPr="00326BB7">
              <w:rPr>
                <w:sz w:val="18"/>
                <w:szCs w:val="18"/>
                <w:lang w:val="en-US"/>
              </w:rPr>
              <w:t xml:space="preserve"> BMP, GIF,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microUSB</w:t>
            </w:r>
            <w:proofErr w:type="spellEnd"/>
            <w:r w:rsidRPr="00272711">
              <w:rPr>
                <w:sz w:val="18"/>
                <w:szCs w:val="18"/>
              </w:rPr>
              <w:t xml:space="preserve">, </w:t>
            </w:r>
            <w:proofErr w:type="spellStart"/>
            <w:r w:rsidRPr="00272711">
              <w:rPr>
                <w:sz w:val="18"/>
                <w:szCs w:val="18"/>
              </w:rPr>
              <w:t>microHDMI</w:t>
            </w:r>
            <w:proofErr w:type="spellEnd"/>
            <w:r w:rsidRPr="00272711">
              <w:rPr>
                <w:sz w:val="18"/>
                <w:szCs w:val="18"/>
              </w:rPr>
              <w:t>, 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Li-Ion</w:t>
            </w:r>
            <w:proofErr w:type="spellEnd"/>
            <w:r w:rsidRPr="00272711">
              <w:rPr>
                <w:sz w:val="18"/>
                <w:szCs w:val="18"/>
              </w:rPr>
              <w:t xml:space="preserve">, 7800 </w:t>
            </w:r>
            <w:proofErr w:type="spellStart"/>
            <w:r w:rsidRPr="00272711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240,1x178х9,9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582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272711" w:rsidRDefault="00272711" w:rsidP="000E2851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планшетный компьютер, USB-кабель, OTG-кабель, наушники, адаптер питания, руководство по эксплуатации, г</w:t>
            </w:r>
            <w:r w:rsidR="00FE6056" w:rsidRPr="00272711">
              <w:rPr>
                <w:sz w:val="18"/>
                <w:szCs w:val="18"/>
              </w:rPr>
              <w:t>арантийный талон</w:t>
            </w:r>
          </w:p>
        </w:tc>
      </w:tr>
    </w:tbl>
    <w:p w:rsidR="00E46515" w:rsidRDefault="00E46515" w:rsidP="00326BB7">
      <w:pPr>
        <w:spacing w:after="0"/>
        <w:rPr>
          <w:b/>
          <w:sz w:val="18"/>
          <w:szCs w:val="18"/>
        </w:rPr>
      </w:pPr>
    </w:p>
    <w:p w:rsidR="00326BB7" w:rsidRDefault="000E2851" w:rsidP="000E2851">
      <w:pPr>
        <w:spacing w:after="0" w:line="240" w:lineRule="auto"/>
        <w:jc w:val="both"/>
        <w:rPr>
          <w:rStyle w:val="a5"/>
          <w:rFonts w:cs="Arial"/>
        </w:rPr>
      </w:pPr>
      <w:r>
        <w:rPr>
          <w:rStyle w:val="a9"/>
        </w:rPr>
        <w:t xml:space="preserve">Торговая марка teXet принадлежит компании «Электронные системы «Алкотел», </w:t>
      </w:r>
      <w:r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2013 года </w:t>
      </w:r>
      <w:r>
        <w:rPr>
          <w:lang w:val="en-US"/>
        </w:rPr>
        <w:t>teXet</w:t>
      </w:r>
      <w:r>
        <w:t xml:space="preserve"> входит в тройку лидеров по товарным категориям: электронные книги (доля рынка РФ в 21%), видеорегистраторы (9%), МР3-плееры (24%), цифровые фоторамки (33%). Торговая марка широко представлена в федеральных сетях: Евросеть, Связной, </w:t>
      </w:r>
      <w:proofErr w:type="spellStart"/>
      <w:r>
        <w:t>М.Видео</w:t>
      </w:r>
      <w:proofErr w:type="spellEnd"/>
      <w:r>
        <w:t xml:space="preserve">, сеть Цифровых супермаркетов DNS, Эльдорадо, </w:t>
      </w:r>
      <w:proofErr w:type="spellStart"/>
      <w:r>
        <w:t>Техносила</w:t>
      </w:r>
      <w:proofErr w:type="spellEnd"/>
      <w:r>
        <w:t xml:space="preserve">. Успешно реализован проект по созданию </w:t>
      </w:r>
      <w:proofErr w:type="spellStart"/>
      <w:r>
        <w:t>монобрендовой</w:t>
      </w:r>
      <w:proofErr w:type="spellEnd"/>
      <w:r>
        <w:t xml:space="preserve"> сети – открыты 5 </w:t>
      </w:r>
      <w:proofErr w:type="gramStart"/>
      <w:r>
        <w:t>фирменных</w:t>
      </w:r>
      <w:proofErr w:type="gramEnd"/>
      <w:r>
        <w:t xml:space="preserve"> шоу-</w:t>
      </w:r>
      <w:proofErr w:type="spellStart"/>
      <w:r>
        <w:t>румов</w:t>
      </w:r>
      <w:proofErr w:type="spellEnd"/>
      <w:r>
        <w:t xml:space="preserve"> </w:t>
      </w:r>
      <w:r>
        <w:rPr>
          <w:lang w:val="en-US"/>
        </w:rPr>
        <w:t>teXet</w:t>
      </w:r>
      <w:r>
        <w:t xml:space="preserve"> в Санкт-Петербурге, действует собственный интернет-магазин бренда. </w:t>
      </w:r>
      <w:r>
        <w:rPr>
          <w:rFonts w:cs="Arial"/>
        </w:rPr>
        <w:t xml:space="preserve">Больше информации на сайте </w:t>
      </w:r>
      <w:hyperlink r:id="rId11" w:history="1">
        <w:r>
          <w:rPr>
            <w:rStyle w:val="a5"/>
            <w:rFonts w:cs="Arial"/>
            <w:lang w:val="en-US"/>
          </w:rPr>
          <w:t>www</w:t>
        </w:r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texet</w:t>
        </w:r>
        <w:proofErr w:type="spellEnd"/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ru</w:t>
        </w:r>
        <w:proofErr w:type="spellEnd"/>
      </w:hyperlink>
      <w:r>
        <w:rPr>
          <w:rStyle w:val="a5"/>
          <w:rFonts w:cs="Arial"/>
        </w:rPr>
        <w:t>.</w:t>
      </w:r>
    </w:p>
    <w:p w:rsidR="000E2851" w:rsidRPr="00326BB7" w:rsidRDefault="000E2851" w:rsidP="000E2851">
      <w:pPr>
        <w:spacing w:after="0" w:line="240" w:lineRule="auto"/>
        <w:jc w:val="both"/>
        <w:rPr>
          <w:b/>
          <w:sz w:val="18"/>
          <w:szCs w:val="18"/>
        </w:rPr>
      </w:pPr>
    </w:p>
    <w:p w:rsidR="000E2851" w:rsidRPr="009653FE" w:rsidRDefault="00326BB7" w:rsidP="000E2851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>Адрес компании: г. Санкт-Петербург, ул. Маршала Говорова, д. 52.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>+7(812) 320-00-60, +7(812) 320-60-06, доб. 147</w:t>
      </w:r>
    </w:p>
    <w:p w:rsidR="00326BB7" w:rsidRPr="009653FE" w:rsidRDefault="00326BB7" w:rsidP="000E2851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5E4DAA" w:rsidRPr="00E5131F" w:rsidRDefault="00326BB7" w:rsidP="00326BB7">
      <w:pPr>
        <w:spacing w:after="0" w:line="240" w:lineRule="auto"/>
        <w:jc w:val="both"/>
        <w:rPr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12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3" w:history="1">
        <w:r w:rsidRPr="009653FE">
          <w:rPr>
            <w:rStyle w:val="a5"/>
            <w:lang w:val="en-US"/>
          </w:rPr>
          <w:t>www.texet.ru</w:t>
        </w:r>
      </w:hyperlink>
    </w:p>
    <w:sectPr w:rsidR="005E4DAA" w:rsidRPr="00E5131F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527C9"/>
    <w:rsid w:val="0016473A"/>
    <w:rsid w:val="001659E9"/>
    <w:rsid w:val="001924C0"/>
    <w:rsid w:val="001A2E46"/>
    <w:rsid w:val="001A64CF"/>
    <w:rsid w:val="001E02F6"/>
    <w:rsid w:val="00202750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C2447"/>
    <w:rsid w:val="002C643C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0AC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653FE"/>
    <w:rsid w:val="00974D9B"/>
    <w:rsid w:val="00983AB6"/>
    <w:rsid w:val="00991786"/>
    <w:rsid w:val="009A08FA"/>
    <w:rsid w:val="009C7126"/>
    <w:rsid w:val="009F6927"/>
    <w:rsid w:val="00A0163B"/>
    <w:rsid w:val="00A11334"/>
    <w:rsid w:val="00A20524"/>
    <w:rsid w:val="00A6607C"/>
    <w:rsid w:val="00A9124A"/>
    <w:rsid w:val="00A92852"/>
    <w:rsid w:val="00AB517D"/>
    <w:rsid w:val="00AE39D0"/>
    <w:rsid w:val="00AE4F32"/>
    <w:rsid w:val="00AE66FC"/>
    <w:rsid w:val="00B04F59"/>
    <w:rsid w:val="00B37F95"/>
    <w:rsid w:val="00B43AA1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3BE3"/>
    <w:rsid w:val="00D64B8D"/>
    <w:rsid w:val="00D74E7E"/>
    <w:rsid w:val="00D74F7D"/>
    <w:rsid w:val="00DA3053"/>
    <w:rsid w:val="00DC3AB3"/>
    <w:rsid w:val="00DF12F9"/>
    <w:rsid w:val="00E307DD"/>
    <w:rsid w:val="00E33CD2"/>
    <w:rsid w:val="00E46515"/>
    <w:rsid w:val="00E5131F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F248-8BDD-4DAC-9753-1F36469F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dcterms:created xsi:type="dcterms:W3CDTF">2014-02-04T06:52:00Z</dcterms:created>
  <dcterms:modified xsi:type="dcterms:W3CDTF">2014-02-04T07:45:00Z</dcterms:modified>
</cp:coreProperties>
</file>